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87366B" w:rsidTr="00405B4D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87366B" w:rsidRDefault="0087366B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87366B" w:rsidRDefault="0087366B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405B4D" w:rsidTr="00405B4D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A9591B" w:rsidRPr="00542A69" w:rsidRDefault="00A9591B" w:rsidP="00A9591B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542A69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A9591B" w:rsidRPr="00F56EEF" w:rsidRDefault="00A9591B" w:rsidP="00A9591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A9591B" w:rsidRPr="00F56EEF" w:rsidRDefault="00A9591B" w:rsidP="00A9591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A9591B" w:rsidRPr="00F56EEF" w:rsidRDefault="00A9591B" w:rsidP="00A9591B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A9591B" w:rsidRPr="001D1681" w:rsidRDefault="00A9591B" w:rsidP="00A9591B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405B4D" w:rsidRDefault="00A9591B" w:rsidP="00A9591B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405B4D" w:rsidRDefault="00405B4D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405B4D" w:rsidRDefault="00405B4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405B4D" w:rsidRDefault="00405B4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405B4D" w:rsidRDefault="00405B4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405B4D" w:rsidRDefault="00405B4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405B4D" w:rsidRDefault="00405B4D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4D180C" w:rsidRPr="00822C7F" w:rsidTr="0087366B">
        <w:tc>
          <w:tcPr>
            <w:tcW w:w="4684" w:type="dxa"/>
            <w:gridSpan w:val="3"/>
            <w:shd w:val="clear" w:color="auto" w:fill="auto"/>
          </w:tcPr>
          <w:p w:rsidR="004D180C" w:rsidRPr="00405B4D" w:rsidRDefault="004D180C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D180C" w:rsidRPr="001D1681" w:rsidRDefault="004D180C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F348CB" w:rsidRPr="00822C7F" w:rsidRDefault="00F348CB" w:rsidP="00F348CB">
      <w:pPr>
        <w:rPr>
          <w:sz w:val="24"/>
          <w:szCs w:val="24"/>
        </w:rPr>
      </w:pPr>
    </w:p>
    <w:p w:rsidR="00F348CB" w:rsidRPr="0086334A" w:rsidRDefault="00F348CB" w:rsidP="00F348CB">
      <w:pPr>
        <w:jc w:val="center"/>
        <w:rPr>
          <w:b/>
          <w:lang w:eastAsia="uk-UA"/>
        </w:rPr>
      </w:pPr>
      <w:r w:rsidRPr="0086334A">
        <w:rPr>
          <w:b/>
          <w:lang w:eastAsia="uk-UA"/>
        </w:rPr>
        <w:t xml:space="preserve">ІНФОРМАЦІЙНА КАРТКА </w:t>
      </w:r>
    </w:p>
    <w:p w:rsidR="00F348CB" w:rsidRPr="00D10B18" w:rsidRDefault="00F348CB" w:rsidP="00D10B18">
      <w:pPr>
        <w:tabs>
          <w:tab w:val="left" w:pos="3969"/>
        </w:tabs>
        <w:jc w:val="center"/>
        <w:rPr>
          <w:bCs/>
          <w:caps/>
          <w:lang w:val="ru-RU"/>
        </w:rPr>
      </w:pPr>
      <w:r w:rsidRPr="00D10B18">
        <w:rPr>
          <w:sz w:val="24"/>
          <w:szCs w:val="24"/>
          <w:lang w:eastAsia="uk-UA"/>
        </w:rPr>
        <w:t xml:space="preserve">адміністративної послуги </w:t>
      </w:r>
    </w:p>
    <w:p w:rsidR="00F348CB" w:rsidRPr="00D10B18" w:rsidRDefault="00D10B18" w:rsidP="00F348CB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="004D180C" w:rsidRPr="00D10B18">
        <w:rPr>
          <w:b/>
          <w:sz w:val="28"/>
          <w:szCs w:val="28"/>
        </w:rPr>
        <w:t>Прийом документів для призначення державної допомоги</w:t>
      </w:r>
      <w:r w:rsidR="004D180C" w:rsidRPr="00D10B18">
        <w:rPr>
          <w:rFonts w:eastAsia="Batang"/>
          <w:b/>
          <w:sz w:val="28"/>
          <w:szCs w:val="28"/>
        </w:rPr>
        <w:t xml:space="preserve"> </w:t>
      </w:r>
      <w:r w:rsidR="004D180C" w:rsidRPr="00D10B18">
        <w:rPr>
          <w:rFonts w:eastAsia="Calibri"/>
          <w:b/>
          <w:sz w:val="28"/>
          <w:szCs w:val="28"/>
        </w:rPr>
        <w:t>при усиновленні дитини</w:t>
      </w:r>
      <w:r>
        <w:rPr>
          <w:rFonts w:eastAsia="Calibri"/>
          <w:b/>
          <w:sz w:val="28"/>
          <w:szCs w:val="28"/>
        </w:rPr>
        <w:t>»</w:t>
      </w:r>
    </w:p>
    <w:p w:rsidR="00F348CB" w:rsidRPr="00D10B18" w:rsidRDefault="00F348CB" w:rsidP="00F348CB">
      <w:pPr>
        <w:jc w:val="center"/>
        <w:rPr>
          <w:b/>
          <w:i/>
          <w:u w:val="single"/>
          <w:lang w:eastAsia="uk-UA"/>
        </w:rPr>
      </w:pPr>
    </w:p>
    <w:p w:rsidR="00F77E64" w:rsidRPr="000A0FD8" w:rsidRDefault="00F77E64" w:rsidP="00F77E64">
      <w:pPr>
        <w:spacing w:before="60" w:after="60"/>
        <w:ind w:firstLine="567"/>
        <w:jc w:val="center"/>
        <w:rPr>
          <w:b/>
          <w:i/>
          <w:u w:val="single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F348CB" w:rsidRPr="00822C7F" w:rsidRDefault="00F77E64" w:rsidP="00F348CB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 xml:space="preserve"> </w:t>
      </w:r>
      <w:r w:rsidR="00F348CB"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236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2979"/>
        <w:gridCol w:w="155"/>
        <w:gridCol w:w="6080"/>
      </w:tblGrid>
      <w:tr w:rsidR="00F348CB" w:rsidRPr="00D10B18" w:rsidTr="00F77E6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8CB" w:rsidRPr="00D10B18" w:rsidRDefault="00F348CB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10B18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A9591B" w:rsidRPr="00D10B18" w:rsidTr="00A9591B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с.Баланівка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Дяченка, 1)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с.Бирлівка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Вишнева, 278)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Війтівський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с.Війтівка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Соборна, 106)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с.В.Киріївка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75А)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с.Голдашівка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80)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с.Кидрасівка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Ковальчука, 1)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с.Красносілка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Незалежності, 45А)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с.Кошаринці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Лесі Українки, 30Б)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с.Лісниче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Перемоги, 1)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с.Маньківка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2А)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Михайлівський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с.Михайлівка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Радіона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Скалецького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2)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Осіївський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с.Осіївка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93)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с.Поташня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Головна, 54А)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>П’ятківський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с.П’ятківка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Миру, 183)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с.Сумівка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36А)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с.Устя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с.Флорино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Юрія Коваленка, 142А)</w:t>
            </w:r>
          </w:p>
          <w:p w:rsidR="00A9591B" w:rsidRPr="009F11EC" w:rsidRDefault="00A9591B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с.Яланець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39)</w:t>
            </w:r>
          </w:p>
          <w:p w:rsidR="00A9591B" w:rsidRPr="009F11EC" w:rsidRDefault="00A9591B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A9591B" w:rsidRPr="00D10B18" w:rsidTr="00A9591B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9F11EC" w:rsidRDefault="00A9591B" w:rsidP="00ED0B85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A9591B" w:rsidRPr="009F11EC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A9591B" w:rsidRPr="00D10B18" w:rsidTr="00A9591B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98199F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A9591B" w:rsidRPr="0098199F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A9591B" w:rsidRPr="00C93032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E-</w:t>
            </w:r>
            <w:proofErr w:type="spellStart"/>
            <w:r w:rsidRPr="0098199F">
              <w:rPr>
                <w:color w:val="FF0000"/>
                <w:sz w:val="24"/>
                <w:szCs w:val="24"/>
                <w:lang w:eastAsia="uk-UA"/>
              </w:rPr>
              <w:t>mail</w:t>
            </w:r>
            <w:proofErr w:type="spellEnd"/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A9591B" w:rsidRPr="00C93032" w:rsidRDefault="00A9591B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i w:val="0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9591B" w:rsidRPr="00D10B18" w:rsidTr="00F77E6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10B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left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pStyle w:val="a3"/>
              <w:spacing w:before="0" w:beforeAutospacing="0" w:after="0" w:afterAutospacing="0"/>
              <w:jc w:val="both"/>
            </w:pPr>
            <w:r w:rsidRPr="00D10B18">
              <w:t>Закон України „Про державну допомогу сім’ям з дітьми”     від 21.11.1992 № 2811-ХІІ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pStyle w:val="a3"/>
              <w:spacing w:before="0" w:beforeAutospacing="0" w:after="0" w:afterAutospacing="0"/>
              <w:jc w:val="both"/>
            </w:pPr>
            <w:r w:rsidRPr="00D10B18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pStyle w:val="a3"/>
              <w:spacing w:before="0" w:beforeAutospacing="0" w:after="0" w:afterAutospacing="0"/>
              <w:jc w:val="both"/>
            </w:pPr>
            <w:r w:rsidRPr="00D10B18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A9591B" w:rsidRPr="00D10B18" w:rsidTr="00F77E6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10B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10B18">
              <w:rPr>
                <w:sz w:val="24"/>
                <w:szCs w:val="24"/>
                <w:lang w:eastAsia="ru-RU"/>
              </w:rPr>
              <w:t>Усиновлення дитини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D10B18">
              <w:rPr>
                <w:sz w:val="24"/>
                <w:szCs w:val="24"/>
                <w:lang w:eastAsia="ru-RU"/>
              </w:rPr>
              <w:t xml:space="preserve">Заява </w:t>
            </w:r>
            <w:proofErr w:type="spellStart"/>
            <w:r w:rsidRPr="00D10B18">
              <w:rPr>
                <w:sz w:val="24"/>
                <w:szCs w:val="24"/>
              </w:rPr>
              <w:t>усиновлювача</w:t>
            </w:r>
            <w:proofErr w:type="spellEnd"/>
            <w:r w:rsidRPr="00D10B18">
              <w:rPr>
                <w:sz w:val="24"/>
                <w:szCs w:val="24"/>
              </w:rPr>
              <w:t xml:space="preserve"> (якщо </w:t>
            </w:r>
            <w:proofErr w:type="spellStart"/>
            <w:r w:rsidRPr="00D10B18">
              <w:rPr>
                <w:sz w:val="24"/>
                <w:szCs w:val="24"/>
              </w:rPr>
              <w:t>усиновлювачами</w:t>
            </w:r>
            <w:proofErr w:type="spellEnd"/>
            <w:r w:rsidRPr="00D10B18">
              <w:rPr>
                <w:sz w:val="24"/>
                <w:szCs w:val="24"/>
              </w:rPr>
              <w:t xml:space="preserve"> є подружжя - одного з них)</w:t>
            </w:r>
            <w:r w:rsidRPr="00D10B18">
              <w:rPr>
                <w:sz w:val="24"/>
                <w:szCs w:val="24"/>
                <w:lang w:eastAsia="ru-RU"/>
              </w:rPr>
              <w:t xml:space="preserve"> за формою, затвердженою наказом Міністерства соціальної політики України від 21.04.2015       № 441 (при  пред’явленні паспорта або іншого документа,  що посвідчує особу);</w:t>
            </w:r>
          </w:p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D10B18">
              <w:rPr>
                <w:sz w:val="24"/>
                <w:szCs w:val="24"/>
                <w:lang w:eastAsia="ru-RU"/>
              </w:rPr>
              <w:t>к</w:t>
            </w:r>
            <w:r w:rsidRPr="00D10B18">
              <w:rPr>
                <w:sz w:val="24"/>
                <w:szCs w:val="24"/>
              </w:rPr>
              <w:t>опія свідоцтва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 w:rsidRPr="00D10B18">
              <w:rPr>
                <w:sz w:val="24"/>
                <w:szCs w:val="24"/>
                <w:lang w:eastAsia="ru-RU"/>
              </w:rPr>
              <w:t xml:space="preserve"> (з пред’явленням оригіналу)</w:t>
            </w:r>
            <w:bookmarkStart w:id="0" w:name="n312"/>
            <w:bookmarkStart w:id="1" w:name="n311"/>
            <w:bookmarkEnd w:id="0"/>
            <w:bookmarkEnd w:id="1"/>
            <w:r w:rsidRPr="00D10B18">
              <w:rPr>
                <w:sz w:val="24"/>
                <w:szCs w:val="24"/>
                <w:lang w:eastAsia="ru-RU"/>
              </w:rPr>
              <w:t>;</w:t>
            </w:r>
          </w:p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10B18">
              <w:rPr>
                <w:sz w:val="24"/>
                <w:szCs w:val="24"/>
              </w:rPr>
              <w:t>копія рішення суду про усиновлення дитини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ind w:firstLine="12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10B18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D10B1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A9591B" w:rsidRPr="00D10B18" w:rsidRDefault="00A9591B" w:rsidP="00DB37C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D10B18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jc w:val="center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D10B18">
              <w:rPr>
                <w:rFonts w:ascii="Times New Roman" w:hAnsi="Times New Roman" w:cs="Times New Roman"/>
                <w:lang w:val="uk-UA"/>
              </w:rPr>
              <w:t>Звернення за призначенням державної допомоги при усиновленні дитини надійшло пізніше ніж через 12 календарних місяців з дня набрання законної сили рішенням про усиновлення дитини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A9591B" w:rsidRPr="00D10B18" w:rsidTr="00542A69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D10B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D10B18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A9591B" w:rsidRPr="00D10B18" w:rsidRDefault="00A9591B" w:rsidP="00DB3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10B18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F348CB" w:rsidRPr="00D10B18" w:rsidRDefault="00F348CB" w:rsidP="00F348CB">
      <w:pPr>
        <w:spacing w:after="200" w:line="276" w:lineRule="auto"/>
        <w:jc w:val="left"/>
        <w:rPr>
          <w:sz w:val="24"/>
          <w:szCs w:val="24"/>
        </w:rPr>
      </w:pPr>
      <w:r w:rsidRPr="00D10B18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4D180C" w:rsidRPr="00822C7F" w:rsidTr="0037345B">
        <w:tc>
          <w:tcPr>
            <w:tcW w:w="4684" w:type="dxa"/>
            <w:gridSpan w:val="3"/>
            <w:shd w:val="clear" w:color="auto" w:fill="auto"/>
          </w:tcPr>
          <w:p w:rsidR="004D180C" w:rsidRPr="001D1681" w:rsidRDefault="004D180C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D180C" w:rsidRPr="001D1681" w:rsidRDefault="004D180C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37345B" w:rsidTr="00405B4D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37345B" w:rsidRDefault="0037345B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37345B" w:rsidRDefault="0037345B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1237A" w:rsidRPr="00D10B18" w:rsidRDefault="00B1237A">
      <w:pPr>
        <w:rPr>
          <w:sz w:val="24"/>
          <w:szCs w:val="24"/>
        </w:rPr>
      </w:pPr>
      <w:bookmarkStart w:id="2" w:name="_GoBack"/>
      <w:bookmarkEnd w:id="2"/>
    </w:p>
    <w:sectPr w:rsidR="00B1237A" w:rsidRPr="00D10B18" w:rsidSect="00F348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37A"/>
    <w:rsid w:val="001B55FA"/>
    <w:rsid w:val="001D60A0"/>
    <w:rsid w:val="002F728A"/>
    <w:rsid w:val="0037345B"/>
    <w:rsid w:val="00405B4D"/>
    <w:rsid w:val="0041020B"/>
    <w:rsid w:val="004D180C"/>
    <w:rsid w:val="00542A69"/>
    <w:rsid w:val="0075343E"/>
    <w:rsid w:val="00865AA0"/>
    <w:rsid w:val="0087366B"/>
    <w:rsid w:val="00980540"/>
    <w:rsid w:val="009F5C25"/>
    <w:rsid w:val="00A252AE"/>
    <w:rsid w:val="00A9591B"/>
    <w:rsid w:val="00A96BAC"/>
    <w:rsid w:val="00A96E0F"/>
    <w:rsid w:val="00B1237A"/>
    <w:rsid w:val="00C932EE"/>
    <w:rsid w:val="00D10B18"/>
    <w:rsid w:val="00D71FD6"/>
    <w:rsid w:val="00DB37C9"/>
    <w:rsid w:val="00F348CB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4AD6-D3A7-46C3-9DF2-0118143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8C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F3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F348CB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1">
    <w:name w:val="HTML Cite"/>
    <w:semiHidden/>
    <w:unhideWhenUsed/>
    <w:rsid w:val="00F348CB"/>
    <w:rPr>
      <w:i/>
      <w:iCs/>
    </w:rPr>
  </w:style>
  <w:style w:type="paragraph" w:customStyle="1" w:styleId="1">
    <w:name w:val="Без інтервалів1"/>
    <w:uiPriority w:val="99"/>
    <w:rsid w:val="00DB37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3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3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25</cp:revision>
  <cp:lastPrinted>2021-11-22T13:04:00Z</cp:lastPrinted>
  <dcterms:created xsi:type="dcterms:W3CDTF">2021-02-21T10:00:00Z</dcterms:created>
  <dcterms:modified xsi:type="dcterms:W3CDTF">2023-03-29T06:09:00Z</dcterms:modified>
</cp:coreProperties>
</file>